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Эксергетический баланс</w:t>
      </w:r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Потери </w:t>
      </w:r>
      <w:r>
        <w:rPr>
          <w:rFonts w:ascii="Times New Roman" w:hAnsi="Times New Roman" w:cs="Times New Roman" w:eastAsiaTheme="minorEastAsia"/>
          <w:iCs/>
          <w:sz w:val="28"/>
          <w:szCs w:val="28"/>
        </w:rPr>
        <w:t>разделяют на внутренние и внешние. В трансформаторах тепла (рефрижераторах) примерами внутренних могут быть потери, связанные с дросселированием, гидравлическими сопротивлениями, трением в машинах, тепло- и массообменом и др. Внешние связаны с разностью температуры охлаждаемого тела и хладагента, а также потери через тепловую изоляцию, нагретая охлаждающая вода и т.д.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Разность значения вводимой в систему эксергии</w:t>
      </w:r>
      <w:r>
        <w:rPr>
          <w:rFonts w:ascii="Times New Roman" w:hAnsi="Times New Roman" w:cs="Times New Roman"/>
          <w:iCs/>
          <w:sz w:val="28"/>
          <w:szCs w:val="28"/>
        </w:rPr>
        <w:t xml:space="preserve"> и выводимой из нее</w:t>
      </w:r>
      <w:r>
        <w:rPr>
          <w:rFonts w:ascii="Times New Roman" w:hAnsi="Times New Roman" w:cs="Times New Roman"/>
          <w:sz w:val="28"/>
          <w:szCs w:val="28"/>
        </w:rPr>
        <w:t xml:space="preserve"> определяет </w:t>
      </w:r>
      <w:r>
        <w:rPr>
          <w:rFonts w:ascii="Times New Roman" w:hAnsi="Times New Roman" w:cs="Times New Roman"/>
          <w:i/>
          <w:sz w:val="28"/>
          <w:szCs w:val="28"/>
        </w:rPr>
        <w:t>суммарные потери от необратимости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Отношение входящей эксергии и выводимой из нее</w:t>
      </w:r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 представляет собой эксергетический коэффициент полезного действия – КПД, который характеризует степень приближения процесса к идеальному.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Первое начало термодинамики не устанавливает никаких ограничений перехода одного вида энергии в другой.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Второе начало термодинамики накладывает ограничения – часть энергии переходит в неработоспособную форму. Например, тепло, отводимое в системе, не может целиком перейти в работу так, чтобы на выходе оно стало равно нулю</w:t>
      </w:r>
      <w:r>
        <w:rPr>
          <w:rFonts w:ascii="Times New Roman" w:hAnsi="Times New Roman" w:cs="Times New Roman" w:eastAsiaTheme="minorEastAsia"/>
          <w:iCs/>
          <w:sz w:val="28"/>
          <w:szCs w:val="28"/>
        </w:rPr>
        <w:t>.</w:t>
      </w:r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Балансы удобно изображать в виде диаграмм, которые наглядно демонстрируют входящие и выходящие потоки. На эксергетической диаграмме явно отображаются потери от необратимости при переходе системы из нижнего температурного уровня на верхний температурный уровень. </w:t>
      </w:r>
    </w:p>
    <w:p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 w:eastAsiaTheme="minorEastAsia"/>
          <w:iCs/>
          <w:sz w:val="28"/>
          <w:szCs w:val="28"/>
        </w:rPr>
        <w:t>Для составления эксергетического баланса системы необходимо изучить метод определения эксергии для видов энергии, встречающихся в системах трансформации тепла – электрическая или механическая, энергия потоков вещества (газа, жидкости, пара) и энергия теплового потока.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Составим эксергетический баланс ПКХУ, которая широко используется в холодильной технике. При сжатии хладагента в компрессоре проявляются электромеханические потери и потери в компрессоре. При конденсации паров хладагента – потери в конденсаторе. Далее жидкость проходит через регулирующий вентиль. Здесь проявляются потери от дросселирования. И наконец, потери в испарителе, в котором кипит жидкий хладагент и производится холод.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трансформаторах тепла выделяют следующие удельные потери от необратимости: удельные электромеханические потери в компрессоре; удельные потери компрессора; удельные потери конденсатора; удельные потери дросселя; удельные потери испарителя [1].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Эксергетический баланс ХУ для удобства изображают в виде диаграммы потоков эксергий и необратимых потерь. Толщина стрелок как правило численно равна значениям этих величин.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примера рассчитаем воздухоразделительную установку – трансформатор тепла, производящий кислород, азот и аргон из воздуха.</w:t>
      </w:r>
    </w:p>
    <w:p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Зная значения удельных эксергий и объемных расходов потоков веществ, определим электрическую мощность установки, т.е. эксергию. Также найдем КПД ВРУ. </w:t>
      </w:r>
      <w:r>
        <w:rPr>
          <w:rFonts w:ascii="Times New Roman" w:hAnsi="Times New Roman" w:cs="Times New Roman"/>
          <w:sz w:val="28"/>
          <w:szCs w:val="28"/>
        </w:rPr>
        <w:t xml:space="preserve">Таким образом эксергия позволила преобразовать энергию потоков веществ в организованный вид энергии [2]. </w:t>
      </w:r>
    </w:p>
    <w:p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>
      <w:pPr>
        <w:pStyle w:val="1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потерь в холодильных установках.</w:t>
      </w:r>
    </w:p>
    <w:p>
      <w:pPr>
        <w:pStyle w:val="1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характеризует </w:t>
      </w:r>
      <w:r>
        <w:rPr>
          <w:rFonts w:ascii="Times New Roman" w:hAnsi="Times New Roman" w:cs="Times New Roman" w:eastAsiaTheme="minorEastAsia"/>
          <w:iCs/>
          <w:sz w:val="28"/>
          <w:szCs w:val="28"/>
        </w:rPr>
        <w:t>эксергетический коэффициент полезного действия?</w:t>
      </w:r>
    </w:p>
    <w:p>
      <w:pPr>
        <w:pStyle w:val="1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iCs/>
          <w:sz w:val="28"/>
          <w:szCs w:val="28"/>
        </w:rPr>
        <w:t>Из чего состоит эксергетический баланс парокомпрессионной холодильной машины?</w:t>
      </w:r>
    </w:p>
    <w:p>
      <w:pPr>
        <w:pStyle w:val="1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Как привести неорганизованные потоки энергий в </w:t>
      </w:r>
      <w:r>
        <w:rPr>
          <w:rFonts w:ascii="Times New Roman" w:hAnsi="Times New Roman" w:cs="Times New Roman"/>
          <w:sz w:val="28"/>
          <w:szCs w:val="28"/>
        </w:rPr>
        <w:t>организованный вид энергии?</w:t>
      </w:r>
    </w:p>
    <w:p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>
      <w:pPr>
        <w:pStyle w:val="1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Соколов Е. Я., Бродянский В. М. Энергетические основы трансформации тепла процессов охлаждения: Учеб. Пособие для вузов. – 2-е изд., перераб. – М.: Энергоиздат, 1981. – 320 с., ил.</w:t>
      </w:r>
    </w:p>
    <w:p>
      <w:pPr>
        <w:pStyle w:val="16"/>
        <w:numPr>
          <w:ilvl w:val="0"/>
          <w:numId w:val="2"/>
        </w:numPr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>Жигулина, Е. В. Характеристики технологических энергоносителей и энергосистем промышленных предприятий: учеб. пос. для вузов / Е. В. Жигулина, Н. В. Калинин, Ю. В. Яворовский, Л. М. Дыскин; Моск. энергетич. ин-т – М.: Изд. дом МЭИ; Нижегород. гос.архитектур. - строит. ун-т – Н. Новгород: ННГАСУ, 2014. – 53 с.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>
        <w:rPr>
          <w:rFonts w:ascii="Times New Roman" w:hAnsi="Times New Roman" w:cs="Times New Roman"/>
          <w:sz w:val="28"/>
          <w:szCs w:val="28"/>
        </w:rPr>
        <w:br w:type="column"/>
      </w:r>
      <w:r>
        <w:rPr>
          <w:rFonts w:ascii="Times New Roman" w:hAnsi="Times New Roman" w:cs="Times New Roman"/>
          <w:sz w:val="28"/>
          <w:szCs w:val="28"/>
        </w:rPr>
        <w:t>В развернутом виде:</w:t>
      </w:r>
    </w:p>
    <w:p>
      <w:pPr>
        <w:ind w:firstLine="567"/>
        <w:jc w:val="both"/>
        <w:rPr>
          <w:rFonts w:ascii="Times New Roman" w:hAnsi="Times New Roman" w:cs="Times New Roman" w:eastAsiaTheme="minorEastAsia"/>
          <w:i/>
          <w:i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q,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вх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вх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вх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q,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</m:t>
              </m:r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ы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вых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cs="Times New Roman"/>
              <w:sz w:val="28"/>
              <w:szCs w:val="28"/>
            </w:rPr>
            <m:t>+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ΣD</m:t>
          </m:r>
        </m:oMath>
      </m:oMathPara>
    </w:p>
    <w:p>
      <w:pPr>
        <w:ind w:firstLine="567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(рис.) Эксергетический и энергетический балансы механического трансформатора тепла, работающего по комбинированной схеме </w:t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  <w:t>RH</w:t>
      </w:r>
      <w:r>
        <w:rPr>
          <w:rFonts w:ascii="Times New Roman" w:hAnsi="Times New Roman" w:cs="Times New Roman" w:eastAsiaTheme="minorEastAsia"/>
          <w:sz w:val="28"/>
          <w:szCs w:val="28"/>
        </w:rPr>
        <w:t>, т.е. выполняющего одновременно функции рефрижератора и теплового насоса.</w:t>
      </w:r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q,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тепл</m:t>
                  </m: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q,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хол</m:t>
                  </m: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=Σ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q,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</m:t>
              </m:r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ы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ub>
          </m:sSub>
        </m:oMath>
      </m:oMathPara>
    </w:p>
    <w:p>
      <w:pPr>
        <w:ind w:firstLine="567"/>
        <w:jc w:val="both"/>
        <w:rPr>
          <w:rFonts w:ascii="Times New Roman" w:hAnsi="Times New Roman" w:cs="Times New Roman"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η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q,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тепл</m:t>
                  </m: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q,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хол</m:t>
                  </m: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вх</m:t>
                  </m: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den>
          </m:f>
        </m:oMath>
      </m:oMathPara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вх</m:t>
            </m: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ub>
        </m:sSub>
      </m:oMath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 – вводимая электрическая эксергия;</w:t>
      </w:r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вх</m:t>
            </m: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ub>
        </m:sSub>
      </m:oMath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 – вводимая работа;</w:t>
      </w:r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 w:val="28"/>
                <w:szCs w:val="28"/>
              </w:rPr>
              <m:t>эм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ub>
        </m:sSub>
      </m:oMath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 – электромеханические потери;</w:t>
      </w:r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 w:val="28"/>
                <w:szCs w:val="28"/>
              </w:rPr>
              <m:t>e,х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ub>
        </m:sSub>
      </m:oMath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 – эксергетическая холодопроизводительность;</w:t>
      </w:r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  <m:r>
              <m:rPr/>
              <w:rPr>
                <w:rFonts w:ascii="Cambria Math" w:hAnsi="Cambria Math" w:cs="Times New Roman"/>
                <w:sz w:val="28"/>
                <w:szCs w:val="28"/>
              </w:rPr>
              <m:t>,хол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ub>
        </m:sSub>
      </m:oMath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 – внешние потери холода;</w:t>
      </w:r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  <m:r>
              <m:rPr/>
              <w:rPr>
                <w:rFonts w:ascii="Cambria Math" w:hAnsi="Cambria Math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хол</m:t>
            </m: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ub>
        </m:sSub>
      </m:oMath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 – эксергия, передаваемая охлаждаемому объекту;</w:t>
      </w:r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  <m:r>
              <m:rPr/>
              <w:rPr>
                <w:rFonts w:ascii="Cambria Math" w:hAnsi="Cambria Math" w:cs="Times New Roman"/>
                <w:sz w:val="28"/>
                <w:szCs w:val="28"/>
              </w:rPr>
              <m:t>,т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ub>
        </m:sSub>
      </m:oMath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 – эксергетическая теплопроизводительность;</w:t>
      </w:r>
    </w:p>
    <w:p>
      <w:pPr>
        <w:ind w:firstLine="567"/>
        <w:jc w:val="both"/>
        <w:rPr>
          <w:rFonts w:ascii="Times New Roman" w:hAnsi="Times New Roman" w:cs="Times New Roman" w:eastAsiaTheme="minorEastAsia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  <m:r>
              <m:rPr/>
              <w:rPr>
                <w:rFonts w:ascii="Cambria Math" w:hAnsi="Cambria Math" w:cs="Times New Roman"/>
                <w:sz w:val="28"/>
                <w:szCs w:val="28"/>
              </w:rPr>
              <m:t>,тепл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ub>
        </m:sSub>
      </m:oMath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 – внешние потери тепла;</w:t>
      </w:r>
    </w:p>
    <w:p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  <m:r>
              <m:rPr/>
              <w:rPr>
                <w:rFonts w:ascii="Cambria Math" w:hAnsi="Cambria Math" w:cs="Times New Roman"/>
                <w:sz w:val="28"/>
                <w:szCs w:val="28"/>
              </w:rPr>
              <m:t>,тепл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ub>
        </m:sSub>
      </m:oMath>
      <w:r>
        <w:rPr>
          <w:rFonts w:ascii="Times New Roman" w:hAnsi="Times New Roman" w:cs="Times New Roman" w:eastAsiaTheme="minorEastAsia"/>
          <w:iCs/>
          <w:sz w:val="28"/>
          <w:szCs w:val="28"/>
        </w:rPr>
        <w:t xml:space="preserve"> – эксергия, передаваемая нагреваемому объекту</w:t>
      </w:r>
    </w:p>
    <w:sectPr>
      <w:pgSz w:w="11906" w:h="16838"/>
      <w:pgMar w:top="851" w:right="567" w:bottom="851" w:left="1134" w:header="680" w:footer="68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8465A2"/>
    <w:multiLevelType w:val="multilevel"/>
    <w:tmpl w:val="0C8465A2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E0635BB"/>
    <w:multiLevelType w:val="multilevel"/>
    <w:tmpl w:val="3E0635BB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961"/>
    <w:rsid w:val="00011991"/>
    <w:rsid w:val="00023814"/>
    <w:rsid w:val="000410E6"/>
    <w:rsid w:val="00053618"/>
    <w:rsid w:val="00077115"/>
    <w:rsid w:val="00092EB6"/>
    <w:rsid w:val="000C1EE5"/>
    <w:rsid w:val="000E1B8C"/>
    <w:rsid w:val="000F1DDE"/>
    <w:rsid w:val="000F486F"/>
    <w:rsid w:val="00104169"/>
    <w:rsid w:val="001127C7"/>
    <w:rsid w:val="00120D02"/>
    <w:rsid w:val="001454A0"/>
    <w:rsid w:val="00185608"/>
    <w:rsid w:val="001B19FF"/>
    <w:rsid w:val="001D0A5D"/>
    <w:rsid w:val="001D46DE"/>
    <w:rsid w:val="00231AD0"/>
    <w:rsid w:val="00246F9A"/>
    <w:rsid w:val="00266008"/>
    <w:rsid w:val="002675EC"/>
    <w:rsid w:val="0027519A"/>
    <w:rsid w:val="002838EF"/>
    <w:rsid w:val="002A6D1F"/>
    <w:rsid w:val="002F7B35"/>
    <w:rsid w:val="00356BDA"/>
    <w:rsid w:val="00363110"/>
    <w:rsid w:val="0039733C"/>
    <w:rsid w:val="003A20F2"/>
    <w:rsid w:val="003B7494"/>
    <w:rsid w:val="003D10D9"/>
    <w:rsid w:val="00420359"/>
    <w:rsid w:val="004B78E2"/>
    <w:rsid w:val="004F2928"/>
    <w:rsid w:val="004F3C9F"/>
    <w:rsid w:val="00544CAE"/>
    <w:rsid w:val="0058383E"/>
    <w:rsid w:val="005A2472"/>
    <w:rsid w:val="005C7658"/>
    <w:rsid w:val="005D34D9"/>
    <w:rsid w:val="005F1AFF"/>
    <w:rsid w:val="00642511"/>
    <w:rsid w:val="00674F92"/>
    <w:rsid w:val="00682E55"/>
    <w:rsid w:val="006A6E63"/>
    <w:rsid w:val="006D31A4"/>
    <w:rsid w:val="006D5729"/>
    <w:rsid w:val="006E472F"/>
    <w:rsid w:val="006F36DB"/>
    <w:rsid w:val="00754A56"/>
    <w:rsid w:val="007A4358"/>
    <w:rsid w:val="0081009A"/>
    <w:rsid w:val="00812AD5"/>
    <w:rsid w:val="00863A63"/>
    <w:rsid w:val="00870C75"/>
    <w:rsid w:val="008A7289"/>
    <w:rsid w:val="008C1C9D"/>
    <w:rsid w:val="008C7795"/>
    <w:rsid w:val="0092106E"/>
    <w:rsid w:val="00941941"/>
    <w:rsid w:val="00961C86"/>
    <w:rsid w:val="00996670"/>
    <w:rsid w:val="009B4241"/>
    <w:rsid w:val="009F353B"/>
    <w:rsid w:val="00A31D5B"/>
    <w:rsid w:val="00A37E62"/>
    <w:rsid w:val="00A57CE0"/>
    <w:rsid w:val="00A8100A"/>
    <w:rsid w:val="00A95AE7"/>
    <w:rsid w:val="00AB4484"/>
    <w:rsid w:val="00AE1D08"/>
    <w:rsid w:val="00B00DCD"/>
    <w:rsid w:val="00B0682F"/>
    <w:rsid w:val="00B26C54"/>
    <w:rsid w:val="00BB13C2"/>
    <w:rsid w:val="00BE0B3A"/>
    <w:rsid w:val="00BF7007"/>
    <w:rsid w:val="00C34823"/>
    <w:rsid w:val="00C4089C"/>
    <w:rsid w:val="00C47DCF"/>
    <w:rsid w:val="00C53E2A"/>
    <w:rsid w:val="00C64765"/>
    <w:rsid w:val="00C726F1"/>
    <w:rsid w:val="00C72D5A"/>
    <w:rsid w:val="00C81A24"/>
    <w:rsid w:val="00C8254A"/>
    <w:rsid w:val="00CB0ADC"/>
    <w:rsid w:val="00CD7939"/>
    <w:rsid w:val="00D1639B"/>
    <w:rsid w:val="00D45574"/>
    <w:rsid w:val="00D74AF7"/>
    <w:rsid w:val="00DA1C4A"/>
    <w:rsid w:val="00DD0FE3"/>
    <w:rsid w:val="00DE5C76"/>
    <w:rsid w:val="00E2190F"/>
    <w:rsid w:val="00E8624F"/>
    <w:rsid w:val="00EA4E33"/>
    <w:rsid w:val="00EE213A"/>
    <w:rsid w:val="00EF5961"/>
    <w:rsid w:val="00F27BAB"/>
    <w:rsid w:val="00FC4F9E"/>
    <w:rsid w:val="00FD121D"/>
    <w:rsid w:val="00FD17EA"/>
    <w:rsid w:val="00FD1D34"/>
    <w:rsid w:val="00FF1732"/>
    <w:rsid w:val="00FF762D"/>
    <w:rsid w:val="7310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Subtitle"/>
    <w:basedOn w:val="1"/>
    <w:next w:val="1"/>
    <w:link w:val="14"/>
    <w:qFormat/>
    <w:uiPriority w:val="11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7">
    <w:name w:val="Стиль мой"/>
    <w:basedOn w:val="2"/>
    <w:next w:val="2"/>
    <w:link w:val="8"/>
    <w:qFormat/>
    <w:uiPriority w:val="0"/>
    <w:pPr>
      <w:spacing w:line="276" w:lineRule="auto"/>
      <w:jc w:val="center"/>
    </w:pPr>
    <w:rPr>
      <w:rFonts w:ascii="Times New Roman" w:hAnsi="Times New Roman" w:cs="Times New Roman"/>
      <w:b/>
      <w:color w:val="000000" w:themeColor="text1"/>
      <w:szCs w:val="28"/>
      <w:lang w:eastAsia="ru-RU"/>
      <w14:textFill>
        <w14:solidFill>
          <w14:schemeClr w14:val="tx1"/>
        </w14:solidFill>
      </w14:textFill>
    </w:rPr>
  </w:style>
  <w:style w:type="character" w:customStyle="1" w:styleId="8">
    <w:name w:val="Стиль мой Знак"/>
    <w:basedOn w:val="4"/>
    <w:link w:val="7"/>
    <w:uiPriority w:val="0"/>
    <w:rPr>
      <w:rFonts w:ascii="Times New Roman" w:hAnsi="Times New Roman" w:cs="Times New Roman" w:eastAsiaTheme="majorEastAsia"/>
      <w:b/>
      <w:color w:val="000000" w:themeColor="text1"/>
      <w:sz w:val="32"/>
      <w:szCs w:val="28"/>
      <w:lang w:eastAsia="ru-RU"/>
      <w14:textFill>
        <w14:solidFill>
          <w14:schemeClr w14:val="tx1"/>
        </w14:solidFill>
      </w14:textFill>
    </w:rPr>
  </w:style>
  <w:style w:type="character" w:customStyle="1" w:styleId="9">
    <w:name w:val="Заголовок 1 Знак"/>
    <w:basedOn w:val="4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0">
    <w:name w:val="подстиль иой"/>
    <w:basedOn w:val="1"/>
    <w:link w:val="11"/>
    <w:qFormat/>
    <w:uiPriority w:val="0"/>
    <w:pPr>
      <w:spacing w:before="120" w:after="120" w:line="300" w:lineRule="auto"/>
      <w:jc w:val="both"/>
    </w:pPr>
    <w:rPr>
      <w:rFonts w:ascii="Times New Roman" w:hAnsi="Times New Roman" w:cs="Times New Roman" w:eastAsiaTheme="minorEastAsia"/>
      <w:b/>
      <w:sz w:val="28"/>
      <w:szCs w:val="28"/>
      <w:lang w:eastAsia="ru-RU"/>
    </w:rPr>
  </w:style>
  <w:style w:type="character" w:customStyle="1" w:styleId="11">
    <w:name w:val="подстиль иой Знак"/>
    <w:basedOn w:val="4"/>
    <w:link w:val="10"/>
    <w:uiPriority w:val="0"/>
    <w:rPr>
      <w:rFonts w:ascii="Times New Roman" w:hAnsi="Times New Roman" w:cs="Times New Roman" w:eastAsiaTheme="minorEastAsia"/>
      <w:b/>
      <w:sz w:val="28"/>
      <w:szCs w:val="28"/>
      <w:lang w:eastAsia="ru-RU"/>
    </w:rPr>
  </w:style>
  <w:style w:type="paragraph" w:customStyle="1" w:styleId="12">
    <w:name w:val="подстиль мой"/>
    <w:basedOn w:val="3"/>
    <w:link w:val="13"/>
    <w:qFormat/>
    <w:uiPriority w:val="0"/>
    <w:pPr>
      <w:spacing w:before="120" w:after="120" w:line="300" w:lineRule="auto"/>
      <w:jc w:val="center"/>
    </w:pPr>
    <w:rPr>
      <w:rFonts w:ascii="Times New Roman" w:hAnsi="Times New Roman" w:cs="Times New Roman"/>
      <w:b/>
      <w:color w:val="auto"/>
      <w:sz w:val="28"/>
      <w:szCs w:val="24"/>
      <w:lang w:eastAsia="ru-RU"/>
    </w:rPr>
  </w:style>
  <w:style w:type="character" w:customStyle="1" w:styleId="13">
    <w:name w:val="подстиль мой Знак"/>
    <w:basedOn w:val="4"/>
    <w:link w:val="12"/>
    <w:uiPriority w:val="0"/>
    <w:rPr>
      <w:rFonts w:ascii="Times New Roman" w:hAnsi="Times New Roman" w:cs="Times New Roman" w:eastAsiaTheme="majorEastAsia"/>
      <w:b/>
      <w:sz w:val="28"/>
      <w:szCs w:val="24"/>
      <w:lang w:eastAsia="ru-RU"/>
    </w:rPr>
  </w:style>
  <w:style w:type="character" w:customStyle="1" w:styleId="14">
    <w:name w:val="Подзаголовок Знак"/>
    <w:basedOn w:val="4"/>
    <w:link w:val="6"/>
    <w:qFormat/>
    <w:uiPriority w:val="11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">
    <w:name w:val="Заголовок 2 Знак"/>
    <w:basedOn w:val="4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16">
    <w:name w:val="List Paragraph"/>
    <w:basedOn w:val="1"/>
    <w:qFormat/>
    <w:uiPriority w:val="34"/>
    <w:pPr>
      <w:ind w:left="720"/>
      <w:contextualSpacing/>
    </w:pPr>
  </w:style>
  <w:style w:type="character" w:styleId="17">
    <w:name w:val="Placeholder Text"/>
    <w:basedOn w:val="4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645</Words>
  <Characters>3681</Characters>
  <Lines>30</Lines>
  <Paragraphs>8</Paragraphs>
  <TotalTime>1034</TotalTime>
  <ScaleCrop>false</ScaleCrop>
  <LinksUpToDate>false</LinksUpToDate>
  <CharactersWithSpaces>4318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2023-09-16T06:54:00Z</dcterms:created>
  <dc:creator>Никита Бударин</dc:creator>
  <cp:lastModifiedBy>User</cp:lastModifiedBy>
  <dcterms:modified xsi:type="dcterms:W3CDTF">2024-03-26T08:41:15Z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C2E834D6229B4447922785134B2905D9_13</vt:lpwstr>
  </property>
</Properties>
</file>